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9532A" w14:textId="77777777" w:rsidR="00F26893" w:rsidRPr="005D1D8C" w:rsidRDefault="00F26893" w:rsidP="00D818CC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5D1D8C">
        <w:rPr>
          <w:rFonts w:ascii="Sylfaen" w:hAnsi="Sylfaen"/>
          <w:b/>
          <w:lang w:val="ka-GE"/>
        </w:rPr>
        <w:t>განმარტებითი ბარათი</w:t>
      </w:r>
    </w:p>
    <w:p w14:paraId="44F8C3FA" w14:textId="7B38B1C9" w:rsidR="008C302A" w:rsidRPr="008C302A" w:rsidRDefault="00F26893" w:rsidP="00D818CC">
      <w:pPr>
        <w:spacing w:after="0" w:line="360" w:lineRule="auto"/>
        <w:ind w:firstLine="720"/>
        <w:jc w:val="center"/>
        <w:rPr>
          <w:rFonts w:ascii="Sylfaen" w:hAnsi="Sylfaen" w:cs="Sylfaen"/>
          <w:b/>
          <w:bCs/>
          <w:lang w:val="ka-GE"/>
        </w:rPr>
      </w:pPr>
      <w:r w:rsidRPr="005D1D8C">
        <w:rPr>
          <w:rFonts w:ascii="Sylfaen" w:hAnsi="Sylfaen"/>
          <w:b/>
          <w:lang w:val="ka-GE"/>
        </w:rPr>
        <w:t xml:space="preserve"> </w:t>
      </w:r>
      <w:bookmarkStart w:id="0" w:name="_Hlk129960765"/>
      <w:r w:rsidR="00A823D7">
        <w:rPr>
          <w:rFonts w:ascii="Sylfaen" w:hAnsi="Sylfaen"/>
          <w:b/>
          <w:lang w:val="ka-GE"/>
        </w:rPr>
        <w:t>„</w:t>
      </w:r>
      <w:r w:rsidR="00A823D7" w:rsidRPr="00A823D7">
        <w:rPr>
          <w:rFonts w:ascii="Sylfaen" w:hAnsi="Sylfaen"/>
          <w:b/>
          <w:lang w:val="ka-GE"/>
        </w:rPr>
        <w:t>ანგარიშვალდებული პირის  ფულის გათეთრებისა და ტერორიზმის დაფინანსების რისკის ზედამხედველობის ანგარიშგების ფორმების შევსებისა და წარდგენის წესის დამტკიცების თაობაზე</w:t>
      </w:r>
      <w:r w:rsidR="00A823D7">
        <w:rPr>
          <w:rFonts w:ascii="Sylfaen" w:hAnsi="Sylfaen"/>
          <w:b/>
          <w:lang w:val="ka-GE"/>
        </w:rPr>
        <w:t>“</w:t>
      </w:r>
    </w:p>
    <w:p w14:paraId="6AD85589" w14:textId="03112D05" w:rsidR="00F26893" w:rsidRPr="005D1D8C" w:rsidRDefault="00D22553" w:rsidP="00D818CC">
      <w:pPr>
        <w:spacing w:after="0" w:line="360" w:lineRule="auto"/>
        <w:ind w:firstLine="720"/>
        <w:jc w:val="center"/>
        <w:rPr>
          <w:rFonts w:ascii="Sylfaen" w:hAnsi="Sylfaen" w:cs="Sylfaen"/>
          <w:b/>
          <w:bCs/>
          <w:lang w:val="ka-GE"/>
        </w:rPr>
      </w:pPr>
      <w:r w:rsidRPr="00821B94">
        <w:rPr>
          <w:rFonts w:ascii="Sylfaen" w:hAnsi="Sylfaen"/>
          <w:b/>
          <w:lang w:val="ka-GE"/>
        </w:rPr>
        <w:t xml:space="preserve"> </w:t>
      </w:r>
      <w:bookmarkEnd w:id="0"/>
      <w:r w:rsidR="00F26893" w:rsidRPr="00821B94">
        <w:rPr>
          <w:rFonts w:ascii="Sylfaen" w:hAnsi="Sylfaen"/>
          <w:b/>
          <w:lang w:val="ka-GE"/>
        </w:rPr>
        <w:t>ბუღალტრული აღრიცხვის, ანგარიშგებისა და აუდიტის ზედამხედველობის</w:t>
      </w:r>
      <w:r w:rsidR="00F26893" w:rsidRPr="005D1D8C">
        <w:rPr>
          <w:rFonts w:ascii="Sylfaen" w:hAnsi="Sylfaen"/>
          <w:b/>
          <w:lang w:val="ka-GE"/>
        </w:rPr>
        <w:t xml:space="preserve"> სამსახურის უფროსის ბრძანების პროექტზე</w:t>
      </w:r>
    </w:p>
    <w:p w14:paraId="08565C76" w14:textId="77777777" w:rsidR="00F26893" w:rsidRPr="005D1D8C" w:rsidRDefault="00F26893" w:rsidP="00D818CC">
      <w:pPr>
        <w:spacing w:line="360" w:lineRule="auto"/>
        <w:jc w:val="center"/>
        <w:rPr>
          <w:rFonts w:ascii="Sylfaen" w:hAnsi="Sylfaen"/>
          <w:lang w:val="ka-GE"/>
        </w:rPr>
      </w:pPr>
    </w:p>
    <w:p w14:paraId="1021A90E" w14:textId="05E6D3E7" w:rsidR="00FE0E3E" w:rsidRPr="005D1D8C" w:rsidRDefault="00590310" w:rsidP="00D818CC">
      <w:pPr>
        <w:spacing w:after="0" w:line="360" w:lineRule="auto"/>
        <w:ind w:firstLine="630"/>
        <w:jc w:val="both"/>
        <w:rPr>
          <w:rFonts w:ascii="Sylfaen" w:hAnsi="Sylfaen"/>
          <w:lang w:val="ka-GE"/>
        </w:rPr>
      </w:pPr>
      <w:r w:rsidRPr="005D1D8C">
        <w:rPr>
          <w:rFonts w:ascii="Sylfaen" w:hAnsi="Sylfaen"/>
          <w:lang w:val="ka-GE"/>
        </w:rPr>
        <w:t>,,</w:t>
      </w:r>
      <w:r w:rsidR="00A44F3F" w:rsidRPr="005D1D8C">
        <w:rPr>
          <w:rFonts w:ascii="Sylfaen" w:hAnsi="Sylfaen"/>
          <w:lang w:val="ka-GE"/>
        </w:rPr>
        <w:t xml:space="preserve">ფულის გათეთრებისა და ტერორიზმის დაფინანსების აღკვეთის ხელშეწყობის შესახებ“ საქართველოს კანონის </w:t>
      </w:r>
      <w:r w:rsidR="00FE0E3E" w:rsidRPr="005D1D8C">
        <w:rPr>
          <w:rFonts w:ascii="Sylfaen" w:hAnsi="Sylfaen"/>
          <w:lang w:val="ka-GE"/>
        </w:rPr>
        <w:t>(შ</w:t>
      </w:r>
      <w:r w:rsidR="00E039EA" w:rsidRPr="005D1D8C">
        <w:rPr>
          <w:rFonts w:ascii="Sylfaen" w:hAnsi="Sylfaen"/>
          <w:lang w:val="ka-GE"/>
        </w:rPr>
        <w:t>ემდგომ</w:t>
      </w:r>
      <w:r w:rsidR="00C224DA">
        <w:rPr>
          <w:rFonts w:ascii="Sylfaen" w:hAnsi="Sylfaen"/>
          <w:lang w:val="ka-GE"/>
        </w:rPr>
        <w:t xml:space="preserve"> </w:t>
      </w:r>
      <w:r w:rsidR="00234855" w:rsidRPr="00234855">
        <w:rPr>
          <w:rFonts w:ascii="Sylfaen" w:hAnsi="Sylfaen"/>
          <w:lang w:val="ka-GE"/>
        </w:rPr>
        <w:t xml:space="preserve">— </w:t>
      </w:r>
      <w:r w:rsidR="00E039EA" w:rsidRPr="005D1D8C">
        <w:rPr>
          <w:rFonts w:ascii="Sylfaen" w:hAnsi="Sylfaen"/>
          <w:lang w:val="ka-GE"/>
        </w:rPr>
        <w:t xml:space="preserve">კანონი) </w:t>
      </w:r>
      <w:r w:rsidR="00A44F3F" w:rsidRPr="005D1D8C">
        <w:rPr>
          <w:rFonts w:ascii="Sylfaen" w:hAnsi="Sylfaen"/>
          <w:lang w:val="ka-GE"/>
        </w:rPr>
        <w:t>შესაბამისად, ამ კანონის მიზნებისთვის, ბუღალტრული აღრიცხვის, ანგარიშგებისა და აუდიტის ზედამხედველობის სამსახურის (</w:t>
      </w:r>
      <w:r w:rsidR="00DD3D77">
        <w:rPr>
          <w:rFonts w:ascii="Sylfaen" w:hAnsi="Sylfaen"/>
          <w:lang w:val="ka-GE"/>
        </w:rPr>
        <w:t>შემდგომ</w:t>
      </w:r>
      <w:r w:rsidR="00A44F3F" w:rsidRPr="005D1D8C">
        <w:rPr>
          <w:rFonts w:ascii="Sylfaen" w:hAnsi="Sylfaen"/>
          <w:lang w:val="ka-GE"/>
        </w:rPr>
        <w:t xml:space="preserve"> </w:t>
      </w:r>
      <w:r w:rsidR="00234855" w:rsidRPr="00234855">
        <w:rPr>
          <w:rFonts w:ascii="Sylfaen" w:hAnsi="Sylfaen"/>
          <w:lang w:val="ka-GE"/>
        </w:rPr>
        <w:t xml:space="preserve">— </w:t>
      </w:r>
      <w:r w:rsidR="00A44F3F" w:rsidRPr="005D1D8C">
        <w:rPr>
          <w:rFonts w:ascii="Sylfaen" w:hAnsi="Sylfaen"/>
          <w:lang w:val="ka-GE"/>
        </w:rPr>
        <w:t xml:space="preserve">სამსახური) მიმართ ანგარიშვალდებულ </w:t>
      </w:r>
      <w:r w:rsidR="00801684" w:rsidRPr="005D1D8C">
        <w:rPr>
          <w:rFonts w:ascii="Sylfaen" w:hAnsi="Sylfaen"/>
          <w:lang w:val="ka-GE"/>
        </w:rPr>
        <w:t>პირს</w:t>
      </w:r>
      <w:r w:rsidR="00A44F3F" w:rsidRPr="005D1D8C">
        <w:rPr>
          <w:rFonts w:ascii="Sylfaen" w:hAnsi="Sylfaen"/>
          <w:lang w:val="ka-GE"/>
        </w:rPr>
        <w:t xml:space="preserve"> </w:t>
      </w:r>
      <w:r w:rsidR="00801684" w:rsidRPr="005D1D8C">
        <w:rPr>
          <w:rFonts w:ascii="Sylfaen" w:hAnsi="Sylfaen"/>
          <w:lang w:val="ka-GE"/>
        </w:rPr>
        <w:t>წარმოადგენს</w:t>
      </w:r>
      <w:r w:rsidR="00A44F3F" w:rsidRPr="005D1D8C">
        <w:rPr>
          <w:rFonts w:ascii="Sylfaen" w:hAnsi="Sylfaen"/>
          <w:lang w:val="ka-GE"/>
        </w:rPr>
        <w:t xml:space="preserve"> სერტიფიცირებული ბუღალტერი, აუდიტორი და აუდიტორული (</w:t>
      </w:r>
      <w:proofErr w:type="spellStart"/>
      <w:r w:rsidR="00A44F3F" w:rsidRPr="005D1D8C">
        <w:rPr>
          <w:rFonts w:ascii="Sylfaen" w:hAnsi="Sylfaen"/>
          <w:lang w:val="ka-GE"/>
        </w:rPr>
        <w:t>აუდიტური</w:t>
      </w:r>
      <w:proofErr w:type="spellEnd"/>
      <w:r w:rsidR="00A44F3F" w:rsidRPr="005D1D8C">
        <w:rPr>
          <w:rFonts w:ascii="Sylfaen" w:hAnsi="Sylfaen"/>
          <w:lang w:val="ka-GE"/>
        </w:rPr>
        <w:t>) ფირმა, პროფესიული მომსახურების გამწევი ბუღალტერი და საბუღალტრო ფირმა</w:t>
      </w:r>
      <w:r w:rsidR="00F71CF2" w:rsidRPr="005D1D8C">
        <w:rPr>
          <w:rFonts w:ascii="Sylfaen" w:hAnsi="Sylfaen"/>
          <w:lang w:val="ka-GE"/>
        </w:rPr>
        <w:t xml:space="preserve"> (შემდგომ - ანგარიშვალდებული პირები)</w:t>
      </w:r>
      <w:r w:rsidR="00A44F3F" w:rsidRPr="005D1D8C">
        <w:rPr>
          <w:rFonts w:ascii="Sylfaen" w:hAnsi="Sylfaen"/>
          <w:lang w:val="ka-GE"/>
        </w:rPr>
        <w:t xml:space="preserve">. </w:t>
      </w:r>
    </w:p>
    <w:p w14:paraId="66D60BDC" w14:textId="6621B15D" w:rsidR="00B842A3" w:rsidRDefault="005803B0" w:rsidP="00D818CC">
      <w:pPr>
        <w:spacing w:after="0" w:line="360" w:lineRule="auto"/>
        <w:ind w:firstLine="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კანონის 38-ე მუხლის პირველი პუნქტის თანახმად, „</w:t>
      </w:r>
      <w:r w:rsidR="00B21B04" w:rsidRPr="00B21B04">
        <w:rPr>
          <w:rFonts w:ascii="Sylfaen" w:hAnsi="Sylfaen"/>
          <w:lang w:val="ka-GE"/>
        </w:rPr>
        <w:t>საზედამხედველო ორგანო ვალდებულია უზრუნველყოს ანგარიშვალდებული პირის მიერ ამ კანონისა და შესაბამისი კანონქვემდებარე ნორმატიული აქტების მოთხოვნების შესრულება დისტანციური შემოწმებით ან/და ადგილზე შემოწმებით.</w:t>
      </w:r>
      <w:r w:rsidR="00B21B04">
        <w:rPr>
          <w:rFonts w:ascii="Sylfaen" w:hAnsi="Sylfaen"/>
          <w:lang w:val="ka-GE"/>
        </w:rPr>
        <w:t>“</w:t>
      </w:r>
    </w:p>
    <w:p w14:paraId="7F053AC7" w14:textId="0700C58E" w:rsidR="00B21B04" w:rsidRDefault="00B21B04" w:rsidP="00D818CC">
      <w:pPr>
        <w:spacing w:after="0" w:line="360" w:lineRule="auto"/>
        <w:ind w:firstLine="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ამავე მუხლის მე-3 პუნქტის მიხედვით, „</w:t>
      </w:r>
      <w:r w:rsidRPr="00B21B04">
        <w:rPr>
          <w:rFonts w:ascii="Sylfaen" w:hAnsi="Sylfaen"/>
          <w:lang w:val="ka-GE"/>
        </w:rPr>
        <w:t>საზედამხედველო ორგანო უფლებამოსილია ამ მუხლის პირველი პუნქტით გათვალისწინებული შემოწმების ჩატარების ან რისკის დონის განსაზღვრის მიზნით ანგარიშვალდებულ პირს მოსთხოვოს და მიიღოს საჭირო ინფორმაცია (დოკუმენტი) (მათ შორის, კონფიდენციალური ინფორმაცია).</w:t>
      </w:r>
      <w:r>
        <w:rPr>
          <w:rFonts w:ascii="Sylfaen" w:hAnsi="Sylfaen"/>
          <w:lang w:val="ka-GE"/>
        </w:rPr>
        <w:t>“</w:t>
      </w:r>
    </w:p>
    <w:p w14:paraId="421477D8" w14:textId="323F078E" w:rsidR="00B21B04" w:rsidRDefault="00446B04" w:rsidP="00D818CC">
      <w:pPr>
        <w:spacing w:after="0" w:line="360" w:lineRule="auto"/>
        <w:ind w:firstLine="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თანახმად, ანგარიშვალდებული პირი სამსახურს ყოველწლიურად წარუდგენს </w:t>
      </w:r>
      <w:r w:rsidR="007C4FC4" w:rsidRPr="007C4FC4">
        <w:rPr>
          <w:rFonts w:ascii="Sylfaen" w:hAnsi="Sylfaen"/>
          <w:lang w:val="ka-GE"/>
        </w:rPr>
        <w:t xml:space="preserve">ფულის გათეთრებისა და ტერორიზმის დაფინანსების რისკის ზედამხედველობის </w:t>
      </w:r>
      <w:r w:rsidR="007C4FC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წლიურ ანგარიშგებას</w:t>
      </w:r>
      <w:r w:rsidR="007C4FC4">
        <w:rPr>
          <w:rFonts w:ascii="Sylfaen" w:hAnsi="Sylfaen"/>
          <w:lang w:val="ka-GE"/>
        </w:rPr>
        <w:t xml:space="preserve"> (შემდგომ </w:t>
      </w:r>
      <w:r w:rsidR="00234855" w:rsidRPr="00234855">
        <w:rPr>
          <w:rFonts w:ascii="Sylfaen" w:hAnsi="Sylfaen"/>
          <w:lang w:val="ka-GE"/>
        </w:rPr>
        <w:t>—</w:t>
      </w:r>
      <w:r w:rsidR="00234855">
        <w:rPr>
          <w:rFonts w:ascii="Sylfaen" w:hAnsi="Sylfaen"/>
          <w:lang w:val="ka-GE"/>
        </w:rPr>
        <w:t xml:space="preserve"> ანგარიშგება). ანგარიშგება შედგება 7 ფორმისგან</w:t>
      </w:r>
      <w:r w:rsidR="00AF1A7F">
        <w:rPr>
          <w:rFonts w:ascii="Sylfaen" w:hAnsi="Sylfaen"/>
          <w:lang w:val="ka-GE"/>
        </w:rPr>
        <w:t>,</w:t>
      </w:r>
      <w:r w:rsidR="00AC4CB1">
        <w:rPr>
          <w:rFonts w:ascii="Sylfaen" w:hAnsi="Sylfaen"/>
          <w:lang w:val="ka-GE"/>
        </w:rPr>
        <w:t xml:space="preserve"> ფიზიკური და იურიდიული ანგარიშვალდებული პირებისთვის არსებითად მსგავსი </w:t>
      </w:r>
      <w:r w:rsidR="00560985">
        <w:rPr>
          <w:rFonts w:ascii="Sylfaen" w:hAnsi="Sylfaen"/>
          <w:lang w:val="ka-GE"/>
        </w:rPr>
        <w:t>დანართების სახით</w:t>
      </w:r>
      <w:r w:rsidR="00234855">
        <w:rPr>
          <w:rFonts w:ascii="Sylfaen" w:hAnsi="Sylfaen"/>
          <w:lang w:val="ka-GE"/>
        </w:rPr>
        <w:t xml:space="preserve">: </w:t>
      </w:r>
    </w:p>
    <w:p w14:paraId="47FFC8A4" w14:textId="69C07F78" w:rsidR="00CB1D83" w:rsidRPr="00D818CC" w:rsidRDefault="00CB1D83" w:rsidP="00D818CC">
      <w:pPr>
        <w:spacing w:after="0" w:line="360" w:lineRule="auto"/>
        <w:ind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Pr="00D818CC">
        <w:rPr>
          <w:rFonts w:ascii="Sylfaen" w:hAnsi="Sylfaen"/>
          <w:lang w:val="ka-GE"/>
        </w:rPr>
        <w:t>ზოგადი ინფორმაცია და ანგარიშვალდებული პირის მიერ დამტკიცებული დოკუმენტების ნუსხა (ფორმა №1);</w:t>
      </w:r>
    </w:p>
    <w:p w14:paraId="384E3763" w14:textId="04D65175" w:rsidR="00CB1D83" w:rsidRPr="00D818CC" w:rsidRDefault="00CB1D83" w:rsidP="00D818CC">
      <w:pPr>
        <w:pStyle w:val="ListParagraph"/>
        <w:numPr>
          <w:ilvl w:val="0"/>
          <w:numId w:val="2"/>
        </w:numPr>
        <w:spacing w:after="0" w:line="360" w:lineRule="auto"/>
        <w:rPr>
          <w:rFonts w:ascii="Sylfaen" w:hAnsi="Sylfaen"/>
          <w:lang w:val="ka-GE"/>
        </w:rPr>
      </w:pPr>
      <w:r w:rsidRPr="00D818CC">
        <w:rPr>
          <w:rFonts w:ascii="Sylfaen" w:hAnsi="Sylfaen"/>
          <w:lang w:val="ka-GE"/>
        </w:rPr>
        <w:t>ინფორმაცია კლიენტთა ბაზის სტრუქტურის შესახებ (ფორმა №2);</w:t>
      </w:r>
    </w:p>
    <w:p w14:paraId="67714099" w14:textId="327C18F0" w:rsidR="00CB1D83" w:rsidRPr="00D818CC" w:rsidRDefault="00CB1D83" w:rsidP="00D818CC">
      <w:pPr>
        <w:spacing w:after="0" w:line="360" w:lineRule="auto"/>
        <w:ind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Pr="00D818CC">
        <w:rPr>
          <w:rFonts w:ascii="Sylfaen" w:hAnsi="Sylfaen"/>
          <w:lang w:val="ka-GE"/>
        </w:rPr>
        <w:t>ინფორმაცია კლიენტთა საქმიანობის ტიპებისა და სფეროს შესახებ (ფორმა №3);</w:t>
      </w:r>
    </w:p>
    <w:p w14:paraId="65FE3DFE" w14:textId="77777777" w:rsidR="00CB1D83" w:rsidRDefault="00CB1D83" w:rsidP="00D818CC">
      <w:pPr>
        <w:spacing w:after="0" w:line="360" w:lineRule="auto"/>
        <w:ind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4. </w:t>
      </w:r>
      <w:r w:rsidRPr="00D818CC">
        <w:rPr>
          <w:rFonts w:ascii="Sylfaen" w:hAnsi="Sylfaen"/>
          <w:lang w:val="ka-GE"/>
        </w:rPr>
        <w:t>ინფორმაცია კლიენტთა გეოგრაფიული არეალის და მათთან დადებული გარიგებების შესახებ (ფორმა №4)</w:t>
      </w:r>
    </w:p>
    <w:p w14:paraId="06B25AE8" w14:textId="21C7CAC4" w:rsidR="00CB1D83" w:rsidRDefault="00CB1D83" w:rsidP="00D818CC">
      <w:pPr>
        <w:spacing w:after="0" w:line="360" w:lineRule="auto"/>
        <w:ind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 </w:t>
      </w:r>
      <w:r w:rsidRPr="00D818CC">
        <w:rPr>
          <w:rFonts w:ascii="Sylfaen" w:hAnsi="Sylfaen"/>
          <w:lang w:val="ka-GE"/>
        </w:rPr>
        <w:t>ინფორმაცია განსაკუთრებული მნიშვნელობის მქონე საქმიანობების შესახებ (ფორმა №5);</w:t>
      </w:r>
    </w:p>
    <w:p w14:paraId="5F366AFD" w14:textId="223CEECD" w:rsidR="00CB1D83" w:rsidRPr="00D818CC" w:rsidRDefault="00CB1D83" w:rsidP="00D818C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D818CC">
        <w:rPr>
          <w:rFonts w:ascii="Sylfaen" w:hAnsi="Sylfaen"/>
          <w:lang w:val="ka-GE"/>
        </w:rPr>
        <w:t>ინფორმაცია სსიპ საქართველოს ფინანსური მონიტორინგის სამსახურში საეჭვო სტატუსით გაგზავნილი ანგარიშგებების შესახებ (ფორმა №6);</w:t>
      </w:r>
    </w:p>
    <w:p w14:paraId="3648F423" w14:textId="4AE07178" w:rsidR="00CB1D83" w:rsidRPr="00D818CC" w:rsidRDefault="00CB1D83" w:rsidP="00D818C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D818CC">
        <w:rPr>
          <w:rFonts w:ascii="Sylfaen" w:hAnsi="Sylfaen"/>
          <w:lang w:val="ka-GE"/>
        </w:rPr>
        <w:t>ინფორმაცია გასატარებელი ღონისძიებების/რეკომენდაციების შესრულების მდგომარეობის შესახებ (ფორმა №7).</w:t>
      </w:r>
    </w:p>
    <w:p w14:paraId="123570A2" w14:textId="4A8C85E7" w:rsidR="001478B4" w:rsidRDefault="001478B4" w:rsidP="001478B4">
      <w:pPr>
        <w:spacing w:after="0" w:line="360" w:lineRule="auto"/>
        <w:ind w:firstLine="630"/>
        <w:jc w:val="both"/>
        <w:rPr>
          <w:rFonts w:ascii="Sylfaen" w:hAnsi="Sylfaen"/>
          <w:lang w:val="ka-GE"/>
        </w:rPr>
      </w:pPr>
      <w:r w:rsidRPr="00D818CC">
        <w:rPr>
          <w:rFonts w:ascii="Sylfaen" w:hAnsi="Sylfaen"/>
          <w:lang w:val="ka-GE"/>
        </w:rPr>
        <w:t>ანგარიშგების წარდგენის მიზანია, სამსახურის მიერ შეფასდეს კონკრეტულ პროფესიული მომსახურების გამწევ ბუღალტერთან, სერტიფიცირებულ ბუღალტერთან, აუდიტორთან, საბუღალტრო ფირმასთან და აუდიტორულ (</w:t>
      </w:r>
      <w:proofErr w:type="spellStart"/>
      <w:r w:rsidRPr="00D818CC">
        <w:rPr>
          <w:rFonts w:ascii="Sylfaen" w:hAnsi="Sylfaen"/>
          <w:lang w:val="ka-GE"/>
        </w:rPr>
        <w:t>აუდიტურ</w:t>
      </w:r>
      <w:proofErr w:type="spellEnd"/>
      <w:r w:rsidRPr="00D818CC">
        <w:rPr>
          <w:rFonts w:ascii="Sylfaen" w:hAnsi="Sylfaen"/>
          <w:lang w:val="ka-GE"/>
        </w:rPr>
        <w:t>) ფირმასთან ასოცირებული ფულის გათეთრებისა და ტერორიზმის დაფინანსების რისკები</w:t>
      </w:r>
      <w:r w:rsidR="00A471B1">
        <w:rPr>
          <w:rFonts w:ascii="Sylfaen" w:hAnsi="Sylfaen"/>
          <w:lang w:val="ka-GE"/>
        </w:rPr>
        <w:t xml:space="preserve"> </w:t>
      </w:r>
      <w:r w:rsidR="00B40E96">
        <w:rPr>
          <w:rFonts w:ascii="Sylfaen" w:hAnsi="Sylfaen"/>
          <w:lang w:val="ka-GE"/>
        </w:rPr>
        <w:t>კანონის 38-ე მუხლის შესაბამისად</w:t>
      </w:r>
      <w:r w:rsidR="00A471B1">
        <w:rPr>
          <w:rFonts w:ascii="Sylfaen" w:hAnsi="Sylfaen"/>
          <w:lang w:val="ka-GE"/>
        </w:rPr>
        <w:t xml:space="preserve"> ზედამხედველობის განხორციელების მიზნით. </w:t>
      </w:r>
    </w:p>
    <w:p w14:paraId="3D985B92" w14:textId="691089BE" w:rsidR="006302BA" w:rsidRDefault="006302BA" w:rsidP="001478B4">
      <w:pPr>
        <w:spacing w:after="0" w:line="360" w:lineRule="auto"/>
        <w:ind w:firstLine="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ანგარიშგების წარდგენა </w:t>
      </w:r>
      <w:r w:rsidR="00CF4309">
        <w:rPr>
          <w:rFonts w:ascii="Sylfaen" w:hAnsi="Sylfaen"/>
          <w:lang w:val="ka-GE"/>
        </w:rPr>
        <w:t xml:space="preserve">განხორციელდება ელექტრონულად, ანგარიშვალდებული პირების შესაბამისი რეესტრებიდან. </w:t>
      </w:r>
      <w:r w:rsidR="00C72247">
        <w:rPr>
          <w:rFonts w:ascii="Sylfaen" w:hAnsi="Sylfaen"/>
          <w:lang w:val="ka-GE"/>
        </w:rPr>
        <w:t xml:space="preserve">საქმიანობის დამოუკიდებლად განმახორციელებელი </w:t>
      </w:r>
      <w:r w:rsidR="00CF4309">
        <w:rPr>
          <w:rFonts w:ascii="Sylfaen" w:hAnsi="Sylfaen"/>
          <w:lang w:val="ka-GE"/>
        </w:rPr>
        <w:t>სერტიფიცირებული ბუღალტ</w:t>
      </w:r>
      <w:r w:rsidR="009B3639">
        <w:rPr>
          <w:rFonts w:ascii="Sylfaen" w:hAnsi="Sylfaen"/>
          <w:lang w:val="ka-GE"/>
        </w:rPr>
        <w:t>ერ</w:t>
      </w:r>
      <w:r w:rsidR="00C72247">
        <w:rPr>
          <w:rFonts w:ascii="Sylfaen" w:hAnsi="Sylfaen"/>
          <w:lang w:val="ka-GE"/>
        </w:rPr>
        <w:t>ი</w:t>
      </w:r>
      <w:r w:rsidR="00451597">
        <w:rPr>
          <w:rFonts w:ascii="Sylfaen" w:hAnsi="Sylfaen"/>
          <w:lang w:val="ka-GE"/>
        </w:rPr>
        <w:t xml:space="preserve">, </w:t>
      </w:r>
      <w:r w:rsidR="00441D90">
        <w:rPr>
          <w:rFonts w:ascii="Sylfaen" w:hAnsi="Sylfaen"/>
          <w:lang w:val="ka-GE"/>
        </w:rPr>
        <w:t>ანგარიშგების წარდგენის მიზნით,</w:t>
      </w:r>
      <w:r w:rsidR="00BC5AF5">
        <w:rPr>
          <w:rFonts w:ascii="Sylfaen" w:hAnsi="Sylfaen"/>
          <w:lang w:val="ka-GE"/>
        </w:rPr>
        <w:t xml:space="preserve"> </w:t>
      </w:r>
      <w:r w:rsidR="00F66F5A" w:rsidRPr="00F66F5A">
        <w:rPr>
          <w:rFonts w:ascii="Sylfaen" w:hAnsi="Sylfaen"/>
          <w:lang w:val="ka-GE"/>
        </w:rPr>
        <w:t>სარგებლობს სამსახურის ვებგვერდზე, სერტიფიცირებული ბუღალტრების რეესტრ</w:t>
      </w:r>
      <w:r w:rsidR="003204F1">
        <w:rPr>
          <w:rFonts w:ascii="Sylfaen" w:hAnsi="Sylfaen"/>
          <w:lang w:val="ka-GE"/>
        </w:rPr>
        <w:t>ის გვერდზე</w:t>
      </w:r>
      <w:r w:rsidR="002C229A">
        <w:rPr>
          <w:rFonts w:ascii="Sylfaen" w:hAnsi="Sylfaen"/>
          <w:lang w:val="ka-GE"/>
        </w:rPr>
        <w:t xml:space="preserve"> </w:t>
      </w:r>
      <w:r w:rsidR="00F66F5A" w:rsidRPr="00F66F5A">
        <w:rPr>
          <w:rFonts w:ascii="Sylfaen" w:hAnsi="Sylfaen"/>
          <w:lang w:val="ka-GE"/>
        </w:rPr>
        <w:t>განთავსებული შესაბამისი ჩანართით.</w:t>
      </w:r>
    </w:p>
    <w:p w14:paraId="5B9A55F5" w14:textId="123CDCE4" w:rsidR="00CB1D83" w:rsidRDefault="00F028B8" w:rsidP="00F028B8">
      <w:pPr>
        <w:spacing w:after="0" w:line="360" w:lineRule="auto"/>
        <w:ind w:firstLine="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ანგარიშგება არ არის საჯარო.</w:t>
      </w:r>
    </w:p>
    <w:p w14:paraId="4E79BE0E" w14:textId="76ACD93C" w:rsidR="00F028B8" w:rsidRDefault="006B3980" w:rsidP="00F028B8">
      <w:pPr>
        <w:spacing w:after="0" w:line="360" w:lineRule="auto"/>
        <w:ind w:firstLine="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პირველი ანგარიშგების წარდგენა ხდება 2025 წელს, გამონაკლისის სახით 2025 წელს ანგარიშვალდებული პირი წარადგენს </w:t>
      </w:r>
      <w:proofErr w:type="spellStart"/>
      <w:r>
        <w:rPr>
          <w:rFonts w:ascii="Sylfaen" w:hAnsi="Sylfaen"/>
          <w:lang w:val="ka-GE"/>
        </w:rPr>
        <w:t>ნახევარწლიურ</w:t>
      </w:r>
      <w:proofErr w:type="spellEnd"/>
      <w:r>
        <w:rPr>
          <w:rFonts w:ascii="Sylfaen" w:hAnsi="Sylfaen"/>
          <w:lang w:val="ka-GE"/>
        </w:rPr>
        <w:t xml:space="preserve"> და წლიურ ანგარიშგებებს</w:t>
      </w:r>
      <w:r w:rsidR="00902533">
        <w:rPr>
          <w:rFonts w:ascii="Sylfaen" w:hAnsi="Sylfaen"/>
          <w:lang w:val="ka-GE"/>
        </w:rPr>
        <w:t xml:space="preserve">, რაც </w:t>
      </w:r>
      <w:r w:rsidR="004E7ED3">
        <w:rPr>
          <w:rFonts w:ascii="Sylfaen" w:hAnsi="Sylfaen"/>
          <w:lang w:val="ka-GE"/>
        </w:rPr>
        <w:t xml:space="preserve">მიზნად ისახავს </w:t>
      </w:r>
      <w:r w:rsidR="00BF1459">
        <w:rPr>
          <w:rFonts w:ascii="Sylfaen" w:hAnsi="Sylfaen"/>
          <w:lang w:val="ka-GE"/>
        </w:rPr>
        <w:t xml:space="preserve">ერთი მხრივ, </w:t>
      </w:r>
      <w:r w:rsidR="004E7ED3">
        <w:rPr>
          <w:rFonts w:ascii="Sylfaen" w:hAnsi="Sylfaen"/>
          <w:lang w:val="ka-GE"/>
        </w:rPr>
        <w:t xml:space="preserve">ანგარიშვალდებული პირების </w:t>
      </w:r>
      <w:r w:rsidR="00BF48AE">
        <w:rPr>
          <w:rFonts w:ascii="Sylfaen" w:hAnsi="Sylfaen"/>
          <w:lang w:val="ka-GE"/>
        </w:rPr>
        <w:t>ცნობიერების დონის მნიშვნელოვნად ამაღლებას რეფორმის საწყის ეტაპზე</w:t>
      </w:r>
      <w:r w:rsidR="00BF1459">
        <w:rPr>
          <w:rFonts w:ascii="Sylfaen" w:hAnsi="Sylfaen"/>
          <w:lang w:val="ka-GE"/>
        </w:rPr>
        <w:t xml:space="preserve">, მეორე მხრივ კი სამსახურის მხრიდან ანგარიშვალდებული პირების შესახებ რისკების დროულ მოპოვებას ხდის შესაძლებელს </w:t>
      </w:r>
      <w:r w:rsidR="00846753">
        <w:rPr>
          <w:rFonts w:ascii="Sylfaen" w:hAnsi="Sylfaen"/>
          <w:lang w:val="ka-GE"/>
        </w:rPr>
        <w:t>რისკების პროპორციულად ზედამხედველობის განხორციელების</w:t>
      </w:r>
      <w:r w:rsidR="00285BF4">
        <w:rPr>
          <w:rFonts w:ascii="Sylfaen" w:hAnsi="Sylfaen"/>
          <w:lang w:val="ka-GE"/>
        </w:rPr>
        <w:t xml:space="preserve">თვის. </w:t>
      </w:r>
    </w:p>
    <w:p w14:paraId="7E3DDD12" w14:textId="62B7AFFE" w:rsidR="00285BF4" w:rsidRPr="00D818CC" w:rsidRDefault="00285BF4" w:rsidP="00D818CC">
      <w:pPr>
        <w:spacing w:after="0" w:line="360" w:lineRule="auto"/>
        <w:ind w:firstLine="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სამსახური 2024 წლის ბოლომდე უზრუნველყოფს</w:t>
      </w:r>
      <w:r w:rsidR="00D818C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ანგარიშგების ელექტრონული წარდგენის პროგრამულ უზრუნველყოფას.</w:t>
      </w:r>
    </w:p>
    <w:p w14:paraId="05122627" w14:textId="77777777" w:rsidR="00D051AF" w:rsidRDefault="00D051AF" w:rsidP="00D818CC">
      <w:pPr>
        <w:spacing w:line="360" w:lineRule="auto"/>
        <w:ind w:firstLine="720"/>
        <w:rPr>
          <w:rFonts w:ascii="Sylfaen" w:hAnsi="Sylfaen" w:cs="Sylfaen"/>
          <w:b/>
          <w:lang w:val="ka-GE"/>
        </w:rPr>
      </w:pPr>
    </w:p>
    <w:p w14:paraId="01E397BB" w14:textId="5F84CF50" w:rsidR="005D1D8C" w:rsidRPr="005D1D8C" w:rsidRDefault="005D1D8C" w:rsidP="00D818CC">
      <w:pPr>
        <w:spacing w:line="360" w:lineRule="auto"/>
        <w:ind w:firstLine="720"/>
        <w:rPr>
          <w:rFonts w:ascii="Sylfaen" w:hAnsi="Sylfaen"/>
          <w:lang w:val="ka-GE"/>
        </w:rPr>
      </w:pPr>
      <w:r w:rsidRPr="005D1D8C">
        <w:rPr>
          <w:rFonts w:ascii="Sylfaen" w:hAnsi="Sylfaen" w:cs="Sylfaen"/>
          <w:b/>
          <w:lang w:val="ka-GE"/>
        </w:rPr>
        <w:t>ინფორმაცია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ევროკავშირის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სამართლებრივი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აქტის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შესახებ</w:t>
      </w:r>
    </w:p>
    <w:p w14:paraId="134085BA" w14:textId="77777777" w:rsidR="005D1D8C" w:rsidRPr="005D1D8C" w:rsidRDefault="005D1D8C" w:rsidP="00D818CC">
      <w:pPr>
        <w:spacing w:line="360" w:lineRule="auto"/>
        <w:ind w:firstLine="720"/>
        <w:jc w:val="both"/>
        <w:rPr>
          <w:rFonts w:ascii="Sylfaen" w:hAnsi="Sylfaen"/>
          <w:lang w:val="ka-GE"/>
        </w:rPr>
      </w:pPr>
      <w:r w:rsidRPr="005D1D8C">
        <w:rPr>
          <w:rFonts w:ascii="Sylfaen" w:hAnsi="Sylfaen" w:cs="Sylfaen"/>
          <w:lang w:val="ka-GE"/>
        </w:rPr>
        <w:t>სამართლებრივი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აქტის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პროექტის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მომზადებისას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არ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არის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გამოყენებული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ევროკავშირის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აქტი</w:t>
      </w:r>
      <w:r w:rsidRPr="005D1D8C">
        <w:rPr>
          <w:rFonts w:ascii="Sylfaen" w:hAnsi="Sylfaen"/>
          <w:lang w:val="ka-GE"/>
        </w:rPr>
        <w:t xml:space="preserve">. </w:t>
      </w:r>
    </w:p>
    <w:p w14:paraId="2D56EB2B" w14:textId="77777777" w:rsidR="005D1D8C" w:rsidRPr="005D1D8C" w:rsidRDefault="005D1D8C" w:rsidP="00D818CC">
      <w:pPr>
        <w:spacing w:line="360" w:lineRule="auto"/>
        <w:ind w:firstLine="720"/>
        <w:rPr>
          <w:rFonts w:ascii="Sylfaen" w:hAnsi="Sylfaen"/>
          <w:b/>
          <w:lang w:val="ka-GE"/>
        </w:rPr>
      </w:pPr>
      <w:r w:rsidRPr="005D1D8C">
        <w:rPr>
          <w:rFonts w:ascii="Sylfaen" w:hAnsi="Sylfaen" w:cs="Sylfaen"/>
          <w:b/>
          <w:lang w:val="ka-GE"/>
        </w:rPr>
        <w:lastRenderedPageBreak/>
        <w:t>პროექტის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მიღებით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გამოწვეული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საფინანსო</w:t>
      </w:r>
      <w:r w:rsidRPr="005D1D8C">
        <w:rPr>
          <w:rFonts w:ascii="Sylfaen" w:hAnsi="Sylfaen"/>
          <w:b/>
          <w:lang w:val="ka-GE"/>
        </w:rPr>
        <w:t>-</w:t>
      </w:r>
      <w:r w:rsidRPr="005D1D8C">
        <w:rPr>
          <w:rFonts w:ascii="Sylfaen" w:hAnsi="Sylfaen" w:cs="Sylfaen"/>
          <w:b/>
          <w:lang w:val="ka-GE"/>
        </w:rPr>
        <w:t>ეკონომიკური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შედეგების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გაანგარიშება</w:t>
      </w:r>
    </w:p>
    <w:p w14:paraId="65F23A34" w14:textId="32F1D529" w:rsidR="005D1D8C" w:rsidRPr="008C302A" w:rsidRDefault="005D1D8C" w:rsidP="00D818CC">
      <w:pPr>
        <w:spacing w:line="360" w:lineRule="auto"/>
        <w:jc w:val="both"/>
        <w:rPr>
          <w:rFonts w:ascii="Sylfaen" w:hAnsi="Sylfaen"/>
          <w:lang w:val="ka-GE"/>
        </w:rPr>
      </w:pPr>
      <w:r w:rsidRPr="005D1D8C">
        <w:rPr>
          <w:rFonts w:ascii="Sylfaen" w:hAnsi="Sylfaen" w:cs="Sylfaen"/>
          <w:lang w:val="ka-GE"/>
        </w:rPr>
        <w:t>სახელმწიფოსათვის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აღნიშნული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პროექტი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არ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გამოიწვევს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ახალი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ფინანსური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ვალდებულებების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წარმოშობას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და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ბიუჯეტის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ხარჯვით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ნაწილზე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გავლენას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არ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იქონიებს</w:t>
      </w:r>
      <w:r w:rsidRPr="005D1D8C">
        <w:rPr>
          <w:rFonts w:ascii="Sylfaen" w:hAnsi="Sylfaen"/>
          <w:lang w:val="ka-GE"/>
        </w:rPr>
        <w:t xml:space="preserve">. </w:t>
      </w:r>
    </w:p>
    <w:p w14:paraId="18AFCF9C" w14:textId="77777777" w:rsidR="005D1D8C" w:rsidRPr="005D1D8C" w:rsidRDefault="005D1D8C" w:rsidP="00D818CC">
      <w:pPr>
        <w:spacing w:line="360" w:lineRule="auto"/>
        <w:ind w:firstLine="720"/>
        <w:rPr>
          <w:rFonts w:ascii="Sylfaen" w:hAnsi="Sylfaen" w:cs="Sylfaen"/>
          <w:b/>
          <w:lang w:val="ka-GE"/>
        </w:rPr>
      </w:pPr>
      <w:r w:rsidRPr="005D1D8C">
        <w:rPr>
          <w:rFonts w:ascii="Sylfaen" w:hAnsi="Sylfaen" w:cs="Sylfaen"/>
          <w:b/>
          <w:lang w:val="ka-GE"/>
        </w:rPr>
        <w:t>პროექტის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მოსალოდნელი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შედეგები</w:t>
      </w:r>
    </w:p>
    <w:p w14:paraId="2BBC4AAC" w14:textId="6E58CF06" w:rsidR="005D1D8C" w:rsidRPr="005D1D8C" w:rsidRDefault="005D1D8C" w:rsidP="00D818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hAnsi="Sylfaen" w:cs="Sylfaen"/>
          <w:lang w:val="ka-GE"/>
        </w:rPr>
      </w:pPr>
      <w:r w:rsidRPr="005D1D8C">
        <w:rPr>
          <w:rFonts w:ascii="Sylfaen" w:hAnsi="Sylfaen" w:cs="Sylfaen"/>
          <w:lang w:val="ka-GE"/>
        </w:rPr>
        <w:t>პროექტი</w:t>
      </w:r>
      <w:r w:rsidRPr="005D1D8C">
        <w:rPr>
          <w:rFonts w:ascii="Sylfaen" w:hAnsi="Sylfaen"/>
          <w:lang w:val="ka-GE"/>
        </w:rPr>
        <w:t xml:space="preserve">ს მიღება, </w:t>
      </w:r>
      <w:r w:rsidRPr="005D1D8C">
        <w:rPr>
          <w:rFonts w:ascii="Sylfaen" w:eastAsia="Times New Roman" w:hAnsi="Sylfaen" w:cs="Calibri"/>
          <w:color w:val="000000"/>
          <w:shd w:val="clear" w:color="auto" w:fill="FFFFFF"/>
          <w:lang w:val="ka-GE"/>
        </w:rPr>
        <w:t xml:space="preserve">სამსახურის მიმართ ანგარიშვალდებულ პირებს დაეხმარება </w:t>
      </w:r>
      <w:r w:rsidRPr="005D1D8C">
        <w:rPr>
          <w:rFonts w:ascii="Sylfaen" w:hAnsi="Sylfaen"/>
          <w:lang w:val="ka-GE"/>
        </w:rPr>
        <w:t xml:space="preserve">,,ფულის გათეთრებისა და ტერორიზმის დაფინანსების აღკვეთის ხელშეწყობის შესახებ“ საქართველოს კანონით </w:t>
      </w:r>
      <w:r w:rsidRPr="005D1D8C">
        <w:rPr>
          <w:rFonts w:ascii="Sylfaen" w:eastAsia="Times New Roman" w:hAnsi="Sylfaen" w:cs="Calibri"/>
          <w:color w:val="000000"/>
          <w:shd w:val="clear" w:color="auto" w:fill="FFFFFF"/>
          <w:lang w:val="ka-GE"/>
        </w:rPr>
        <w:t>დადგენილი ვალდებულების შესრულებაში.</w:t>
      </w:r>
    </w:p>
    <w:p w14:paraId="3F76E892" w14:textId="6837BCC9" w:rsidR="005D1D8C" w:rsidRPr="005D1D8C" w:rsidRDefault="005D1D8C" w:rsidP="00D818CC">
      <w:pPr>
        <w:spacing w:line="360" w:lineRule="auto"/>
        <w:jc w:val="both"/>
        <w:rPr>
          <w:rFonts w:ascii="Sylfaen" w:hAnsi="Sylfaen"/>
          <w:lang w:val="ka-GE"/>
        </w:rPr>
      </w:pPr>
    </w:p>
    <w:p w14:paraId="4FC508DF" w14:textId="77777777" w:rsidR="005D1D8C" w:rsidRPr="005D1D8C" w:rsidRDefault="005D1D8C" w:rsidP="00D818CC">
      <w:pPr>
        <w:spacing w:line="360" w:lineRule="auto"/>
        <w:ind w:firstLine="720"/>
        <w:rPr>
          <w:rFonts w:ascii="Sylfaen" w:hAnsi="Sylfaen"/>
          <w:b/>
          <w:lang w:val="ka-GE"/>
        </w:rPr>
      </w:pPr>
      <w:r w:rsidRPr="005D1D8C">
        <w:rPr>
          <w:rFonts w:ascii="Sylfaen" w:hAnsi="Sylfaen" w:cs="Sylfaen"/>
          <w:b/>
          <w:lang w:val="ka-GE"/>
        </w:rPr>
        <w:t>პროექტის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განხორციელების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ვადები</w:t>
      </w:r>
      <w:r w:rsidRPr="005D1D8C">
        <w:rPr>
          <w:rFonts w:ascii="Sylfaen" w:hAnsi="Sylfaen"/>
          <w:b/>
          <w:lang w:val="ka-GE"/>
        </w:rPr>
        <w:t xml:space="preserve"> </w:t>
      </w:r>
    </w:p>
    <w:p w14:paraId="54F23910" w14:textId="77777777" w:rsidR="005D1D8C" w:rsidRPr="005D1D8C" w:rsidRDefault="005D1D8C" w:rsidP="00D818CC">
      <w:pPr>
        <w:spacing w:line="360" w:lineRule="auto"/>
        <w:ind w:firstLine="720"/>
        <w:jc w:val="both"/>
        <w:rPr>
          <w:rFonts w:ascii="Sylfaen" w:hAnsi="Sylfaen"/>
          <w:lang w:val="ka-GE"/>
        </w:rPr>
      </w:pPr>
      <w:r w:rsidRPr="005D1D8C">
        <w:rPr>
          <w:rFonts w:ascii="Sylfaen" w:hAnsi="Sylfaen" w:cs="Sylfaen"/>
          <w:lang w:val="ka-GE"/>
        </w:rPr>
        <w:t>პროექტით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გათვალისწინებული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ღონისძიებების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შესრულება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არ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საჭიროებს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კონკრეტულ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ვადას</w:t>
      </w:r>
      <w:r w:rsidRPr="005D1D8C">
        <w:rPr>
          <w:rFonts w:ascii="Sylfaen" w:hAnsi="Sylfaen"/>
          <w:lang w:val="ka-GE"/>
        </w:rPr>
        <w:t>.</w:t>
      </w:r>
    </w:p>
    <w:p w14:paraId="3E11B49B" w14:textId="77777777" w:rsidR="00D051AF" w:rsidRDefault="005D1D8C" w:rsidP="00D818CC">
      <w:pPr>
        <w:spacing w:line="360" w:lineRule="auto"/>
        <w:ind w:firstLine="720"/>
        <w:rPr>
          <w:rFonts w:ascii="Sylfaen" w:hAnsi="Sylfaen" w:cs="Sylfaen"/>
          <w:b/>
          <w:lang w:val="ka-GE"/>
        </w:rPr>
      </w:pPr>
      <w:r w:rsidRPr="005D1D8C">
        <w:rPr>
          <w:rFonts w:ascii="Sylfaen" w:hAnsi="Sylfaen" w:cs="Sylfaen"/>
          <w:b/>
          <w:lang w:val="ka-GE"/>
        </w:rPr>
        <w:t>პროექტის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ავტორი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და</w:t>
      </w:r>
      <w:r w:rsidRPr="005D1D8C">
        <w:rPr>
          <w:rFonts w:ascii="Sylfaen" w:hAnsi="Sylfaen"/>
          <w:b/>
          <w:lang w:val="ka-GE"/>
        </w:rPr>
        <w:t xml:space="preserve"> </w:t>
      </w:r>
      <w:r w:rsidRPr="005D1D8C">
        <w:rPr>
          <w:rFonts w:ascii="Sylfaen" w:hAnsi="Sylfaen" w:cs="Sylfaen"/>
          <w:b/>
          <w:lang w:val="ka-GE"/>
        </w:rPr>
        <w:t>წარმდგენი</w:t>
      </w:r>
      <w:r w:rsidR="00D051AF">
        <w:rPr>
          <w:rFonts w:ascii="Sylfaen" w:hAnsi="Sylfaen" w:cs="Sylfaen"/>
          <w:b/>
          <w:lang w:val="ka-GE"/>
        </w:rPr>
        <w:t xml:space="preserve"> </w:t>
      </w:r>
    </w:p>
    <w:p w14:paraId="42922237" w14:textId="287C27DB" w:rsidR="005D1D8C" w:rsidRPr="00D051AF" w:rsidRDefault="005D1D8C" w:rsidP="00D818CC">
      <w:pPr>
        <w:spacing w:line="360" w:lineRule="auto"/>
        <w:ind w:firstLine="720"/>
        <w:jc w:val="both"/>
        <w:rPr>
          <w:rFonts w:ascii="Sylfaen" w:hAnsi="Sylfaen" w:cs="Sylfaen"/>
          <w:b/>
          <w:lang w:val="ka-GE"/>
        </w:rPr>
      </w:pPr>
      <w:r w:rsidRPr="005D1D8C">
        <w:rPr>
          <w:rFonts w:ascii="Sylfaen" w:hAnsi="Sylfaen" w:cs="Sylfaen"/>
          <w:lang w:val="ka-GE"/>
        </w:rPr>
        <w:t>პროექტის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hAnsi="Sylfaen" w:cs="Sylfaen"/>
          <w:lang w:val="ka-GE"/>
        </w:rPr>
        <w:t>ავტორია</w:t>
      </w:r>
      <w:r w:rsidRPr="005D1D8C">
        <w:rPr>
          <w:rFonts w:ascii="Sylfaen" w:hAnsi="Sylfaen"/>
          <w:lang w:val="ka-GE"/>
        </w:rPr>
        <w:t xml:space="preserve"> </w:t>
      </w:r>
      <w:r w:rsidRPr="005D1D8C">
        <w:rPr>
          <w:rFonts w:ascii="Sylfaen" w:eastAsia="Times New Roman" w:hAnsi="Sylfaen" w:cs="Calibri"/>
          <w:color w:val="000000"/>
          <w:shd w:val="clear" w:color="auto" w:fill="FFFFFF"/>
          <w:lang w:val="ka-GE"/>
        </w:rPr>
        <w:t>ბუღალტრული აღრიცხვის, ანგარიშგებისა და აუდიტის ზედამხედველობის სამსახური.</w:t>
      </w:r>
    </w:p>
    <w:sectPr w:rsidR="005D1D8C" w:rsidRPr="00D051AF" w:rsidSect="0073493D"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D0132"/>
    <w:multiLevelType w:val="hybridMultilevel"/>
    <w:tmpl w:val="A83EC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13BEE"/>
    <w:multiLevelType w:val="hybridMultilevel"/>
    <w:tmpl w:val="499C69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A09AD"/>
    <w:multiLevelType w:val="hybridMultilevel"/>
    <w:tmpl w:val="F55A191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19318">
    <w:abstractNumId w:val="0"/>
  </w:num>
  <w:num w:numId="2" w16cid:durableId="1083647285">
    <w:abstractNumId w:val="1"/>
  </w:num>
  <w:num w:numId="3" w16cid:durableId="1581256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2MzY1MrI0NjW2tDBS0lEKTi0uzszPAykwrgUAXVUjWywAAAA="/>
  </w:docVars>
  <w:rsids>
    <w:rsidRoot w:val="00E53449"/>
    <w:rsid w:val="0000031A"/>
    <w:rsid w:val="000150C7"/>
    <w:rsid w:val="00021FAE"/>
    <w:rsid w:val="000B47DA"/>
    <w:rsid w:val="000F347C"/>
    <w:rsid w:val="001307CB"/>
    <w:rsid w:val="001478B4"/>
    <w:rsid w:val="00182733"/>
    <w:rsid w:val="00184CD8"/>
    <w:rsid w:val="00190DC5"/>
    <w:rsid w:val="001B233D"/>
    <w:rsid w:val="001F3C0F"/>
    <w:rsid w:val="001F5D56"/>
    <w:rsid w:val="00205268"/>
    <w:rsid w:val="002172F0"/>
    <w:rsid w:val="00234855"/>
    <w:rsid w:val="00250C09"/>
    <w:rsid w:val="00285BF4"/>
    <w:rsid w:val="002C229A"/>
    <w:rsid w:val="00306F6D"/>
    <w:rsid w:val="003204F1"/>
    <w:rsid w:val="003221F9"/>
    <w:rsid w:val="003E467C"/>
    <w:rsid w:val="00441D90"/>
    <w:rsid w:val="00443733"/>
    <w:rsid w:val="004443F6"/>
    <w:rsid w:val="00446B04"/>
    <w:rsid w:val="00447620"/>
    <w:rsid w:val="00451597"/>
    <w:rsid w:val="004B39ED"/>
    <w:rsid w:val="004E7ED3"/>
    <w:rsid w:val="004F5F84"/>
    <w:rsid w:val="005127FD"/>
    <w:rsid w:val="00560985"/>
    <w:rsid w:val="005803B0"/>
    <w:rsid w:val="00590310"/>
    <w:rsid w:val="00593281"/>
    <w:rsid w:val="005B3451"/>
    <w:rsid w:val="005D1D8C"/>
    <w:rsid w:val="005D4623"/>
    <w:rsid w:val="00603AE3"/>
    <w:rsid w:val="00604164"/>
    <w:rsid w:val="00614E0C"/>
    <w:rsid w:val="006302BA"/>
    <w:rsid w:val="00665F8D"/>
    <w:rsid w:val="006B3980"/>
    <w:rsid w:val="006B6D7F"/>
    <w:rsid w:val="006C61E9"/>
    <w:rsid w:val="006E4AE0"/>
    <w:rsid w:val="00711329"/>
    <w:rsid w:val="0071380D"/>
    <w:rsid w:val="0073493D"/>
    <w:rsid w:val="007355C8"/>
    <w:rsid w:val="00744922"/>
    <w:rsid w:val="007609F4"/>
    <w:rsid w:val="0076463B"/>
    <w:rsid w:val="007655CA"/>
    <w:rsid w:val="007677D9"/>
    <w:rsid w:val="00770228"/>
    <w:rsid w:val="00786AC2"/>
    <w:rsid w:val="007A46F3"/>
    <w:rsid w:val="007B0067"/>
    <w:rsid w:val="007C4FC4"/>
    <w:rsid w:val="007F70E8"/>
    <w:rsid w:val="00801684"/>
    <w:rsid w:val="00811980"/>
    <w:rsid w:val="00815CDF"/>
    <w:rsid w:val="00821B94"/>
    <w:rsid w:val="00827B49"/>
    <w:rsid w:val="00832A63"/>
    <w:rsid w:val="00846753"/>
    <w:rsid w:val="00847737"/>
    <w:rsid w:val="00867F07"/>
    <w:rsid w:val="00871491"/>
    <w:rsid w:val="00883A4A"/>
    <w:rsid w:val="0089789A"/>
    <w:rsid w:val="008C302A"/>
    <w:rsid w:val="008F2C96"/>
    <w:rsid w:val="00902533"/>
    <w:rsid w:val="009351D2"/>
    <w:rsid w:val="009B0106"/>
    <w:rsid w:val="009B3639"/>
    <w:rsid w:val="009E2476"/>
    <w:rsid w:val="009F0707"/>
    <w:rsid w:val="00A44F3F"/>
    <w:rsid w:val="00A471A6"/>
    <w:rsid w:val="00A471B1"/>
    <w:rsid w:val="00A823D7"/>
    <w:rsid w:val="00AB7598"/>
    <w:rsid w:val="00AC4CB1"/>
    <w:rsid w:val="00AD331A"/>
    <w:rsid w:val="00AF1A7F"/>
    <w:rsid w:val="00B076CF"/>
    <w:rsid w:val="00B21B04"/>
    <w:rsid w:val="00B30103"/>
    <w:rsid w:val="00B37375"/>
    <w:rsid w:val="00B40E96"/>
    <w:rsid w:val="00B42AF9"/>
    <w:rsid w:val="00B4549C"/>
    <w:rsid w:val="00B73EC1"/>
    <w:rsid w:val="00B842A3"/>
    <w:rsid w:val="00BC00A5"/>
    <w:rsid w:val="00BC5AF5"/>
    <w:rsid w:val="00BF1459"/>
    <w:rsid w:val="00BF4166"/>
    <w:rsid w:val="00BF48AE"/>
    <w:rsid w:val="00C224DA"/>
    <w:rsid w:val="00C3775B"/>
    <w:rsid w:val="00C52909"/>
    <w:rsid w:val="00C558D2"/>
    <w:rsid w:val="00C72247"/>
    <w:rsid w:val="00C83E68"/>
    <w:rsid w:val="00C974E7"/>
    <w:rsid w:val="00CB1D83"/>
    <w:rsid w:val="00CF4309"/>
    <w:rsid w:val="00D051AF"/>
    <w:rsid w:val="00D11D85"/>
    <w:rsid w:val="00D206F6"/>
    <w:rsid w:val="00D22553"/>
    <w:rsid w:val="00D25C27"/>
    <w:rsid w:val="00D818CC"/>
    <w:rsid w:val="00DA514E"/>
    <w:rsid w:val="00DD3D77"/>
    <w:rsid w:val="00DD5FCC"/>
    <w:rsid w:val="00DF6F74"/>
    <w:rsid w:val="00E039EA"/>
    <w:rsid w:val="00E11FF1"/>
    <w:rsid w:val="00E16CA3"/>
    <w:rsid w:val="00E302F4"/>
    <w:rsid w:val="00E3246A"/>
    <w:rsid w:val="00E53449"/>
    <w:rsid w:val="00E5509D"/>
    <w:rsid w:val="00EB1873"/>
    <w:rsid w:val="00ED4700"/>
    <w:rsid w:val="00EE2EF7"/>
    <w:rsid w:val="00F028B8"/>
    <w:rsid w:val="00F109D8"/>
    <w:rsid w:val="00F15754"/>
    <w:rsid w:val="00F25840"/>
    <w:rsid w:val="00F26893"/>
    <w:rsid w:val="00F66F5A"/>
    <w:rsid w:val="00F71CF2"/>
    <w:rsid w:val="00F750A2"/>
    <w:rsid w:val="00F765B0"/>
    <w:rsid w:val="00F97B5F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3EB4D"/>
  <w15:chartTrackingRefBased/>
  <w15:docId w15:val="{A729055E-2557-4DEA-832C-B7080CD8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5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3775B"/>
    <w:pPr>
      <w:widowControl w:val="0"/>
      <w:autoSpaceDE w:val="0"/>
      <w:autoSpaceDN w:val="0"/>
      <w:spacing w:after="0" w:line="240" w:lineRule="auto"/>
      <w:ind w:left="398"/>
      <w:jc w:val="both"/>
    </w:pPr>
    <w:rPr>
      <w:rFonts w:ascii="Sylfaen" w:eastAsia="Sylfaen" w:hAnsi="Sylfaen" w:cs="Sylfae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3775B"/>
    <w:rPr>
      <w:rFonts w:ascii="Sylfaen" w:eastAsia="Sylfaen" w:hAnsi="Sylfaen" w:cs="Sylfaen"/>
      <w:sz w:val="24"/>
      <w:szCs w:val="24"/>
      <w:lang w:val="vi"/>
    </w:rPr>
  </w:style>
  <w:style w:type="paragraph" w:styleId="Revision">
    <w:name w:val="Revision"/>
    <w:hidden/>
    <w:uiPriority w:val="99"/>
    <w:semiHidden/>
    <w:rsid w:val="00B454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AA5E-D4A4-49AD-B394-C0B6D43D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Narmania</dc:creator>
  <cp:keywords/>
  <dc:description/>
  <cp:lastModifiedBy>Irakli Giorgobiani</cp:lastModifiedBy>
  <cp:revision>52</cp:revision>
  <dcterms:created xsi:type="dcterms:W3CDTF">2024-02-22T07:59:00Z</dcterms:created>
  <dcterms:modified xsi:type="dcterms:W3CDTF">2024-04-29T09:53:00Z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dda79f222349b83b22ea44baa0b500ae16bf90ae9405215e214594a183cf8b6b</vt:lpwstr>
  </property>
</Properties>
</file>